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084" w:rsidRDefault="00FE7084" w:rsidP="00FE7084">
      <w:pPr>
        <w:pStyle w:val="1"/>
        <w:spacing w:line="240" w:lineRule="exact"/>
      </w:pPr>
      <w:r>
        <w:t>(106-58-1)1,4-二甲基哌嗪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120"/>
        <w:gridCol w:w="2227"/>
        <w:gridCol w:w="2339"/>
      </w:tblGrid>
      <w:tr w:rsidR="00FE7084"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标</w:t>
            </w:r>
          </w:p>
          <w:p w:rsidR="00FE7084" w:rsidRDefault="00FE7084" w:rsidP="0090435F">
            <w:pPr>
              <w:spacing w:line="260" w:lineRule="exact"/>
              <w:rPr>
                <w:rFonts w:ascii="宋体" w:hAnsi="宋体"/>
              </w:rPr>
            </w:pPr>
            <w:r>
              <w:rPr>
                <w:rFonts w:ascii="宋体" w:hAnsi="宋体" w:hint="eastAsia"/>
              </w:rPr>
              <w:t>识</w:t>
            </w: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中文名：1,4-二甲基哌嗪 ；</w:t>
            </w:r>
          </w:p>
          <w:p w:rsidR="00FE7084" w:rsidRDefault="00FE7084" w:rsidP="0090435F">
            <w:pPr>
              <w:spacing w:line="260" w:lineRule="exact"/>
              <w:ind w:firstLineChars="400" w:firstLine="840"/>
              <w:rPr>
                <w:rFonts w:ascii="宋体" w:hAnsi="宋体"/>
              </w:rPr>
            </w:pPr>
            <w:r>
              <w:rPr>
                <w:rFonts w:ascii="宋体" w:hAnsi="宋体" w:hint="eastAsia"/>
              </w:rPr>
              <w:t>N,N'-二甲基哌嗪</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1,4-dimethyl piperazine </w:t>
            </w:r>
            <w:r>
              <w:rPr>
                <w:rFonts w:ascii="宋体" w:hAnsi="宋体" w:hint="eastAsia"/>
                <w:lang w:val="en-GB"/>
              </w:rPr>
              <w:t>；</w:t>
            </w:r>
          </w:p>
          <w:p w:rsidR="00FE7084" w:rsidRDefault="00FE7084" w:rsidP="0090435F">
            <w:pPr>
              <w:spacing w:line="260" w:lineRule="exact"/>
              <w:rPr>
                <w:rFonts w:ascii="宋体" w:hAnsi="宋体"/>
              </w:rPr>
            </w:pPr>
            <w:r>
              <w:rPr>
                <w:rFonts w:ascii="宋体" w:hAnsi="宋体" w:hint="eastAsia"/>
              </w:rPr>
              <w:t>N,N'-dimethylpiperazine</w:t>
            </w:r>
          </w:p>
        </w:tc>
      </w:tr>
      <w:tr w:rsidR="00FE7084" w:rsidTr="0090435F">
        <w:trPr>
          <w:cantSplit/>
          <w:jc w:val="center"/>
        </w:trPr>
        <w:tc>
          <w:tcPr>
            <w:tcW w:w="488" w:type="dxa"/>
            <w:vMerge/>
            <w:tcBorders>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rPr>
              <w:t xml:space="preserve">  </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r>
              <w:rPr>
                <w:rFonts w:ascii="宋体" w:hAnsi="宋体" w:hint="eastAsia"/>
                <w:szCs w:val="18"/>
              </w:rPr>
              <w:t>N</w:t>
            </w:r>
            <w:r>
              <w:rPr>
                <w:rFonts w:ascii="宋体" w:hAnsi="宋体" w:hint="eastAsia"/>
                <w:szCs w:val="18"/>
                <w:vertAlign w:val="subscript"/>
              </w:rPr>
              <w:t>2</w:t>
            </w:r>
          </w:p>
        </w:tc>
        <w:tc>
          <w:tcPr>
            <w:tcW w:w="2227"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分子量：114.19</w:t>
            </w:r>
          </w:p>
        </w:tc>
        <w:tc>
          <w:tcPr>
            <w:tcW w:w="2339"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UN编号：</w:t>
            </w:r>
          </w:p>
        </w:tc>
      </w:tr>
      <w:tr w:rsidR="00FE7084" w:rsidTr="0090435F">
        <w:trPr>
          <w:cantSplit/>
          <w:jc w:val="center"/>
        </w:trPr>
        <w:tc>
          <w:tcPr>
            <w:tcW w:w="488" w:type="dxa"/>
            <w:vMerge/>
            <w:tcBorders>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危险类别：第</w:t>
            </w:r>
            <w:r>
              <w:rPr>
                <w:rFonts w:ascii="宋体" w:hAnsi="宋体"/>
              </w:rPr>
              <w:t>3.</w:t>
            </w:r>
            <w:r>
              <w:rPr>
                <w:rFonts w:ascii="宋体" w:hAnsi="宋体" w:hint="eastAsia"/>
              </w:rPr>
              <w:t>3类；高闪点易燃液体</w:t>
            </w:r>
          </w:p>
        </w:tc>
        <w:tc>
          <w:tcPr>
            <w:tcW w:w="2227"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危规号：33616</w:t>
            </w:r>
          </w:p>
        </w:tc>
        <w:tc>
          <w:tcPr>
            <w:tcW w:w="2339"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CAS号：106-58-1</w:t>
            </w:r>
          </w:p>
        </w:tc>
      </w:tr>
      <w:tr w:rsidR="00FE7084" w:rsidTr="0090435F">
        <w:trPr>
          <w:cantSplit/>
          <w:jc w:val="center"/>
        </w:trPr>
        <w:tc>
          <w:tcPr>
            <w:tcW w:w="488" w:type="dxa"/>
            <w:vMerge/>
            <w:tcBorders>
              <w:left w:val="single" w:sz="4" w:space="0" w:color="auto"/>
              <w:bottom w:val="nil"/>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bCs/>
              </w:rPr>
            </w:pPr>
            <w:r>
              <w:rPr>
                <w:rFonts w:ascii="宋体" w:hAnsi="宋体" w:hint="eastAsia"/>
                <w:bCs/>
              </w:rPr>
              <w:t xml:space="preserve">包装标志： </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包装类别：</w:t>
            </w:r>
          </w:p>
        </w:tc>
      </w:tr>
      <w:tr w:rsidR="00FE7084" w:rsidTr="0090435F">
        <w:trPr>
          <w:cantSplit/>
          <w:trHeight w:val="221"/>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理</w:t>
            </w:r>
          </w:p>
          <w:p w:rsidR="00FE7084" w:rsidRDefault="00FE7084" w:rsidP="0090435F">
            <w:pPr>
              <w:spacing w:line="260" w:lineRule="exact"/>
              <w:rPr>
                <w:rFonts w:ascii="宋体" w:hAnsi="宋体"/>
              </w:rPr>
            </w:pPr>
            <w:r>
              <w:rPr>
                <w:rFonts w:ascii="宋体" w:hAnsi="宋体" w:hint="eastAsia"/>
              </w:rPr>
              <w:t>化</w:t>
            </w:r>
          </w:p>
          <w:p w:rsidR="00FE7084" w:rsidRDefault="00FE7084" w:rsidP="0090435F">
            <w:pPr>
              <w:spacing w:line="260" w:lineRule="exact"/>
              <w:rPr>
                <w:rFonts w:ascii="宋体" w:hAnsi="宋体"/>
              </w:rPr>
            </w:pPr>
            <w:r>
              <w:rPr>
                <w:rFonts w:ascii="宋体" w:hAnsi="宋体" w:hint="eastAsia"/>
              </w:rPr>
              <w:t>性</w:t>
            </w:r>
          </w:p>
          <w:p w:rsidR="00FE7084" w:rsidRDefault="00FE7084" w:rsidP="0090435F">
            <w:pPr>
              <w:spacing w:line="260" w:lineRule="exact"/>
              <w:rPr>
                <w:rFonts w:ascii="宋体" w:hAnsi="宋体"/>
              </w:rPr>
            </w:pPr>
            <w:r>
              <w:rPr>
                <w:rFonts w:ascii="宋体" w:hAnsi="宋体" w:hint="eastAsia"/>
              </w:rPr>
              <w:t>质</w:t>
            </w: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外观与性状：无色挥发性液体。</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溶解性：易溶于水、乙醇、乙醚。</w:t>
            </w:r>
          </w:p>
        </w:tc>
      </w:tr>
      <w:tr w:rsidR="00FE708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熔点（℃）：－1</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沸点（℃）：</w:t>
            </w:r>
            <w:r>
              <w:rPr>
                <w:rFonts w:ascii="宋体" w:hAnsi="宋体" w:hint="eastAsia"/>
                <w:szCs w:val="18"/>
              </w:rPr>
              <w:t>131～132(106.6kPa)</w:t>
            </w:r>
          </w:p>
        </w:tc>
      </w:tr>
      <w:tr w:rsidR="00FE708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相对密度（水＝1）：</w:t>
            </w:r>
            <w:r>
              <w:rPr>
                <w:rFonts w:ascii="宋体" w:hAnsi="宋体" w:hint="eastAsia"/>
                <w:szCs w:val="18"/>
              </w:rPr>
              <w:t>0.844</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相对密度（空气＝1）：无资料</w:t>
            </w:r>
          </w:p>
        </w:tc>
      </w:tr>
      <w:tr w:rsidR="00FE7084"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饱和蒸气压（kPa）：无资料</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燃烧热（kJ/mol）：无资料</w:t>
            </w:r>
          </w:p>
        </w:tc>
      </w:tr>
      <w:tr w:rsidR="00FE7084"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临界温度（℃）：无资料</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临界压力（MPa）：无资料</w:t>
            </w:r>
          </w:p>
        </w:tc>
      </w:tr>
      <w:tr w:rsidR="00FE7084"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燃</w:t>
            </w:r>
          </w:p>
          <w:p w:rsidR="00FE7084" w:rsidRDefault="00FE7084" w:rsidP="0090435F">
            <w:pPr>
              <w:spacing w:line="260" w:lineRule="exact"/>
              <w:rPr>
                <w:rFonts w:ascii="宋体" w:hAnsi="宋体"/>
              </w:rPr>
            </w:pPr>
            <w:r>
              <w:rPr>
                <w:rFonts w:ascii="宋体" w:hAnsi="宋体" w:hint="eastAsia"/>
              </w:rPr>
              <w:t>烧</w:t>
            </w:r>
          </w:p>
          <w:p w:rsidR="00FE7084" w:rsidRDefault="00FE7084" w:rsidP="0090435F">
            <w:pPr>
              <w:spacing w:line="260" w:lineRule="exact"/>
              <w:rPr>
                <w:rFonts w:ascii="宋体" w:hAnsi="宋体"/>
              </w:rPr>
            </w:pPr>
            <w:r>
              <w:rPr>
                <w:rFonts w:ascii="宋体" w:hAnsi="宋体" w:hint="eastAsia"/>
              </w:rPr>
              <w:t>爆</w:t>
            </w:r>
          </w:p>
          <w:p w:rsidR="00FE7084" w:rsidRDefault="00FE7084" w:rsidP="0090435F">
            <w:pPr>
              <w:spacing w:line="260" w:lineRule="exact"/>
              <w:rPr>
                <w:rFonts w:ascii="宋体" w:hAnsi="宋体"/>
              </w:rPr>
            </w:pPr>
            <w:r>
              <w:rPr>
                <w:rFonts w:ascii="宋体" w:hAnsi="宋体" w:hint="eastAsia"/>
              </w:rPr>
              <w:t>炸</w:t>
            </w:r>
          </w:p>
          <w:p w:rsidR="00FE7084" w:rsidRDefault="00FE7084" w:rsidP="0090435F">
            <w:pPr>
              <w:spacing w:line="260" w:lineRule="exact"/>
              <w:rPr>
                <w:rFonts w:ascii="宋体" w:hAnsi="宋体"/>
              </w:rPr>
            </w:pPr>
            <w:r>
              <w:rPr>
                <w:rFonts w:ascii="宋体" w:hAnsi="宋体" w:hint="eastAsia"/>
              </w:rPr>
              <w:t>危</w:t>
            </w:r>
          </w:p>
          <w:p w:rsidR="00FE7084" w:rsidRDefault="00FE7084" w:rsidP="0090435F">
            <w:pPr>
              <w:spacing w:line="260" w:lineRule="exact"/>
              <w:rPr>
                <w:rFonts w:ascii="宋体" w:hAnsi="宋体"/>
              </w:rPr>
            </w:pPr>
            <w:r>
              <w:rPr>
                <w:rFonts w:ascii="宋体" w:hAnsi="宋体" w:hint="eastAsia"/>
              </w:rPr>
              <w:t>险</w:t>
            </w:r>
          </w:p>
          <w:p w:rsidR="00FE7084" w:rsidRDefault="00FE7084" w:rsidP="0090435F">
            <w:pPr>
              <w:spacing w:line="260" w:lineRule="exact"/>
              <w:rPr>
                <w:rFonts w:ascii="宋体" w:hAnsi="宋体"/>
              </w:rPr>
            </w:pPr>
            <w:r>
              <w:rPr>
                <w:rFonts w:ascii="宋体" w:hAnsi="宋体" w:hint="eastAsia"/>
              </w:rPr>
              <w:t>性</w:t>
            </w: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燃烧性： 易燃</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闪点（℃）：无资料</w:t>
            </w:r>
          </w:p>
        </w:tc>
      </w:tr>
      <w:tr w:rsidR="00FE7084" w:rsidTr="0090435F">
        <w:trPr>
          <w:cantSplit/>
          <w:jc w:val="center"/>
        </w:trPr>
        <w:tc>
          <w:tcPr>
            <w:tcW w:w="488" w:type="dxa"/>
            <w:vMerge/>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爆炸下限（%）：无资料</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爆炸上限（%）：无资料</w:t>
            </w:r>
          </w:p>
        </w:tc>
      </w:tr>
      <w:tr w:rsidR="00FE7084" w:rsidTr="0090435F">
        <w:trPr>
          <w:cantSplit/>
          <w:jc w:val="center"/>
        </w:trPr>
        <w:tc>
          <w:tcPr>
            <w:tcW w:w="488" w:type="dxa"/>
            <w:vMerge/>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引燃温度（℃）：无资料2</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最小点火能（mJ）：无资料</w:t>
            </w:r>
          </w:p>
        </w:tc>
      </w:tr>
      <w:tr w:rsidR="00FE7084" w:rsidTr="0090435F">
        <w:trPr>
          <w:cantSplit/>
          <w:jc w:val="center"/>
        </w:trPr>
        <w:tc>
          <w:tcPr>
            <w:tcW w:w="488" w:type="dxa"/>
            <w:vMerge/>
            <w:tcBorders>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最大爆炸压力（MPa）：无资料</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 xml:space="preserve">稳定性： </w:t>
            </w:r>
          </w:p>
        </w:tc>
      </w:tr>
      <w:tr w:rsidR="00FE7084" w:rsidTr="0090435F">
        <w:trPr>
          <w:cantSplit/>
          <w:jc w:val="center"/>
        </w:trPr>
        <w:tc>
          <w:tcPr>
            <w:tcW w:w="488" w:type="dxa"/>
            <w:vMerge/>
            <w:tcBorders>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4120"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 xml:space="preserve">聚合危害： </w:t>
            </w:r>
          </w:p>
        </w:tc>
        <w:tc>
          <w:tcPr>
            <w:tcW w:w="4566" w:type="dxa"/>
            <w:gridSpan w:val="2"/>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禁忌物：强氧化剂、强酸。</w:t>
            </w:r>
          </w:p>
        </w:tc>
      </w:tr>
      <w:tr w:rsidR="00FE7084" w:rsidTr="0090435F">
        <w:trPr>
          <w:cantSplit/>
          <w:jc w:val="center"/>
        </w:trPr>
        <w:tc>
          <w:tcPr>
            <w:tcW w:w="488" w:type="dxa"/>
            <w:vMerge/>
            <w:tcBorders>
              <w:left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燃烧分解产物：一氧化碳、二氧化碳、氮氧化物。</w:t>
            </w:r>
          </w:p>
        </w:tc>
      </w:tr>
      <w:tr w:rsidR="00FE7084"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bCs/>
              </w:rPr>
            </w:pPr>
            <w:r>
              <w:rPr>
                <w:rFonts w:ascii="宋体" w:hAnsi="宋体" w:hint="eastAsia"/>
                <w:bCs/>
              </w:rPr>
              <w:t>危险特性：本品易燃，有毒，具腐蚀性，可致人体灼伤。其蒸气与空气可形成爆炸性混合物，遇明火、高热能引起燃烧爆炸。与氧化剂可发生反应。受高热分解放出有毒的气体。具有腐蚀性。若遇高热，容器内压增大，有开裂和爆炸的危险。</w:t>
            </w:r>
          </w:p>
        </w:tc>
      </w:tr>
      <w:tr w:rsidR="00FE7084" w:rsidTr="0090435F">
        <w:trPr>
          <w:cantSplit/>
          <w:jc w:val="center"/>
        </w:trPr>
        <w:tc>
          <w:tcPr>
            <w:tcW w:w="488" w:type="dxa"/>
            <w:vMerge/>
            <w:tcBorders>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bCs/>
              </w:rPr>
            </w:pPr>
            <w:r>
              <w:rPr>
                <w:rFonts w:ascii="宋体" w:hAnsi="宋体" w:hint="eastAsia"/>
                <w:bCs/>
              </w:rPr>
              <w:t>灭火方法：消防人员须佩戴防毒面具、穿全身消防服，在上风向灭火。尽可能将容器从火场移至空旷处。喷水保持火场容器冷却，直至灭火结束。处在火场中的容器若已变色或从安全泄压装置中产生声音，必须马上撤离。用水喷射逸出液体，使其稀释成不燃性混合物，并用雾状水保护消防人员。灭火剂：水、雾状水、抗溶性泡沫、干粉、二氧化碳、砂土。</w:t>
            </w:r>
          </w:p>
        </w:tc>
      </w:tr>
      <w:tr w:rsidR="00FE7084"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毒</w:t>
            </w:r>
          </w:p>
          <w:p w:rsidR="00FE7084" w:rsidRDefault="00FE7084" w:rsidP="0090435F">
            <w:pPr>
              <w:spacing w:line="260" w:lineRule="exact"/>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无资料          </w:t>
            </w: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FE7084"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健</w:t>
            </w:r>
          </w:p>
          <w:p w:rsidR="00FE7084" w:rsidRDefault="00FE7084" w:rsidP="0090435F">
            <w:pPr>
              <w:spacing w:line="260" w:lineRule="exact"/>
              <w:rPr>
                <w:rFonts w:ascii="宋体" w:hAnsi="宋体"/>
              </w:rPr>
            </w:pPr>
            <w:r>
              <w:rPr>
                <w:rFonts w:ascii="宋体" w:hAnsi="宋体" w:hint="eastAsia"/>
              </w:rPr>
              <w:t>康</w:t>
            </w:r>
          </w:p>
          <w:p w:rsidR="00FE7084" w:rsidRDefault="00FE7084" w:rsidP="0090435F">
            <w:pPr>
              <w:spacing w:line="260" w:lineRule="exact"/>
              <w:rPr>
                <w:rFonts w:ascii="宋体" w:hAnsi="宋体"/>
              </w:rPr>
            </w:pPr>
            <w:r>
              <w:rPr>
                <w:rFonts w:ascii="宋体" w:hAnsi="宋体" w:hint="eastAsia"/>
              </w:rPr>
              <w:t>危</w:t>
            </w:r>
          </w:p>
          <w:p w:rsidR="00FE7084" w:rsidRDefault="00FE7084" w:rsidP="0090435F">
            <w:pPr>
              <w:spacing w:line="260" w:lineRule="exact"/>
              <w:rPr>
                <w:rFonts w:ascii="宋体" w:hAnsi="宋体"/>
              </w:rPr>
            </w:pPr>
            <w:r>
              <w:rPr>
                <w:rFonts w:ascii="宋体" w:hAnsi="宋体" w:hint="eastAsia"/>
              </w:rPr>
              <w:t>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侵入途经：吸入、食入、皮肤吸收。</w:t>
            </w:r>
          </w:p>
        </w:tc>
      </w:tr>
      <w:tr w:rsidR="00FE7084" w:rsidTr="0090435F">
        <w:trPr>
          <w:cantSplit/>
          <w:trHeight w:val="665"/>
          <w:jc w:val="center"/>
        </w:trPr>
        <w:tc>
          <w:tcPr>
            <w:tcW w:w="488" w:type="dxa"/>
            <w:vMerge/>
            <w:tcBorders>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本品有腐蚀性。吸入或经皮肤吸收后对身体有害。吸入可引起喉痉挛、喉炎、支气管炎、化学性肺炎、肺水肿等。 </w:t>
            </w:r>
          </w:p>
        </w:tc>
      </w:tr>
      <w:tr w:rsidR="00FE7084" w:rsidTr="0090435F">
        <w:trPr>
          <w:cantSplit/>
          <w:jc w:val="center"/>
        </w:trPr>
        <w:tc>
          <w:tcPr>
            <w:tcW w:w="488" w:type="dxa"/>
            <w:tcBorders>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急</w:t>
            </w:r>
          </w:p>
          <w:p w:rsidR="00FE7084" w:rsidRDefault="00FE7084" w:rsidP="0090435F">
            <w:pPr>
              <w:spacing w:line="260" w:lineRule="exact"/>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FE7084"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防</w:t>
            </w:r>
          </w:p>
          <w:p w:rsidR="00FE7084" w:rsidRDefault="00FE7084" w:rsidP="0090435F">
            <w:pPr>
              <w:spacing w:line="260" w:lineRule="exact"/>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工程控制：密闭操作，局部排风。   ※呼吸系统防护：空气中浓度超标时，必须佩戴自吸过滤式防毒面具（半面罩）。紧急事态抢救或撤离时，应该佩戴空气呼吸器。   ※眼睛防护：戴化学安全防护眼镜。   ※身体防护：穿防静电工作服。   ※手防护：戴橡胶手套。  ※其他：工作场所禁止吸烟、进食和饮水，饭前要洗手。工作完毕，淋浴更衣。保持良好的卫生习惯。</w:t>
            </w:r>
          </w:p>
        </w:tc>
      </w:tr>
      <w:tr w:rsidR="00FE7084"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泄</w:t>
            </w:r>
          </w:p>
          <w:p w:rsidR="00FE7084" w:rsidRDefault="00FE7084" w:rsidP="0090435F">
            <w:pPr>
              <w:spacing w:line="260" w:lineRule="exact"/>
              <w:rPr>
                <w:rFonts w:ascii="宋体" w:hAnsi="宋体"/>
              </w:rPr>
            </w:pPr>
            <w:r>
              <w:rPr>
                <w:rFonts w:ascii="宋体" w:hAnsi="宋体" w:hint="eastAsia"/>
              </w:rPr>
              <w:t>漏</w:t>
            </w:r>
          </w:p>
          <w:p w:rsidR="00FE7084" w:rsidRDefault="00FE7084" w:rsidP="0090435F">
            <w:pPr>
              <w:spacing w:line="260" w:lineRule="exact"/>
              <w:rPr>
                <w:rFonts w:ascii="宋体" w:hAnsi="宋体"/>
              </w:rPr>
            </w:pPr>
            <w:r>
              <w:rPr>
                <w:rFonts w:ascii="宋体" w:hAnsi="宋体" w:hint="eastAsia"/>
              </w:rPr>
              <w:t>处</w:t>
            </w:r>
          </w:p>
          <w:p w:rsidR="00FE7084" w:rsidRDefault="00FE7084" w:rsidP="0090435F">
            <w:pPr>
              <w:spacing w:line="260" w:lineRule="exact"/>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FE7084" w:rsidRDefault="00FE7084" w:rsidP="0090435F">
            <w:pPr>
              <w:spacing w:line="260" w:lineRule="exact"/>
              <w:rPr>
                <w:rFonts w:ascii="宋体" w:hAnsi="宋体"/>
                <w:bCs/>
              </w:rPr>
            </w:pPr>
            <w:r>
              <w:rPr>
                <w:rFonts w:ascii="宋体" w:hAnsi="宋体" w:hint="eastAsia"/>
                <w:bCs/>
              </w:rPr>
              <w:t>迅速撤离泄漏污染区人员至安全区，并进行隔离，严格限制出入。切断火源。建议应急处理人员戴自给式呼吸器，穿全棉防腐服。不要直接接触泄漏物。尽可能切断泄漏源。防止流入下水道、排洪沟等限制性空间。小量泄漏：用砂土、干燥石灰或苏打灰混合。大量泄漏：构筑围堤或挖坑收容。用泵转移至槽车或专用收集器内，回收或运至废物处理场所处置。</w:t>
            </w:r>
          </w:p>
        </w:tc>
      </w:tr>
      <w:tr w:rsidR="00FE7084" w:rsidTr="0090435F">
        <w:trPr>
          <w:cantSplit/>
          <w:jc w:val="center"/>
        </w:trPr>
        <w:tc>
          <w:tcPr>
            <w:tcW w:w="488" w:type="dxa"/>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rPr>
              <w:t>储</w:t>
            </w:r>
          </w:p>
          <w:p w:rsidR="00FE7084" w:rsidRDefault="00FE7084" w:rsidP="0090435F">
            <w:pPr>
              <w:spacing w:line="260" w:lineRule="exact"/>
              <w:rPr>
                <w:rFonts w:ascii="宋体" w:hAnsi="宋体"/>
              </w:rPr>
            </w:pPr>
            <w:r>
              <w:rPr>
                <w:rFonts w:ascii="宋体" w:hAnsi="宋体" w:hint="eastAsia"/>
              </w:rPr>
              <w:t>运</w:t>
            </w:r>
          </w:p>
        </w:tc>
        <w:tc>
          <w:tcPr>
            <w:tcW w:w="8686" w:type="dxa"/>
            <w:gridSpan w:val="3"/>
            <w:tcBorders>
              <w:top w:val="single" w:sz="4" w:space="0" w:color="auto"/>
              <w:left w:val="single" w:sz="4" w:space="0" w:color="auto"/>
              <w:right w:val="single" w:sz="4" w:space="0" w:color="auto"/>
            </w:tcBorders>
            <w:vAlign w:val="center"/>
          </w:tcPr>
          <w:p w:rsidR="00FE7084" w:rsidRDefault="00FE7084" w:rsidP="0090435F">
            <w:pPr>
              <w:spacing w:line="260" w:lineRule="exact"/>
              <w:rPr>
                <w:rFonts w:ascii="宋体" w:hAnsi="宋体"/>
              </w:rPr>
            </w:pPr>
            <w:r>
              <w:rPr>
                <w:rFonts w:ascii="宋体" w:hAnsi="宋体" w:hint="eastAsia"/>
                <w:szCs w:val="18"/>
              </w:rPr>
              <w:t>储存于阴凉、通风的库房。远离火种、热源。防止阳光直射。库温不宜超过30℃。保持容器密封。应与氧化剂、酸类分开存放，切忌混储。采用防爆型照明、通风设施。禁止使用易产生火花的机械设备和工具。储区应备有泄漏应急处理设备和合适的收容材料。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84"/>
    <w:rsid w:val="00E63B54"/>
    <w:rsid w:val="00FE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CB8A6-26C3-4802-B4A4-4E69DE46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E708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E708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Company>zyhq</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